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7C2A0" w14:textId="395D5C97" w:rsidR="005D04E9" w:rsidRPr="005D04E9" w:rsidRDefault="005D04E9" w:rsidP="005D04E9">
      <w:pPr>
        <w:pStyle w:val="Default"/>
        <w:jc w:val="center"/>
        <w:rPr>
          <w:b/>
          <w:color w:val="00B050"/>
          <w:sz w:val="28"/>
          <w:szCs w:val="28"/>
        </w:rPr>
      </w:pPr>
      <w:r w:rsidRPr="005D04E9">
        <w:rPr>
          <w:b/>
          <w:bCs/>
          <w:color w:val="00B050"/>
          <w:sz w:val="28"/>
          <w:szCs w:val="28"/>
        </w:rPr>
        <w:t>Council Resolution to Join the FCM–ICLEI Partners for Climate Protection Program</w:t>
      </w:r>
    </w:p>
    <w:p w14:paraId="32D23C22" w14:textId="77777777" w:rsidR="00C723FF" w:rsidRDefault="00C723FF" w:rsidP="00C723FF">
      <w:pPr>
        <w:pStyle w:val="Default"/>
        <w:rPr>
          <w:b/>
          <w:bCs/>
          <w:color w:val="00B050"/>
          <w:sz w:val="22"/>
          <w:szCs w:val="22"/>
        </w:rPr>
      </w:pPr>
    </w:p>
    <w:p w14:paraId="4659AD2F" w14:textId="77777777" w:rsidR="00C723FF" w:rsidRDefault="00C723FF" w:rsidP="00C723FF">
      <w:pPr>
        <w:pStyle w:val="Default"/>
        <w:rPr>
          <w:b/>
          <w:bCs/>
          <w:color w:val="00B050"/>
          <w:sz w:val="22"/>
          <w:szCs w:val="22"/>
        </w:rPr>
      </w:pPr>
    </w:p>
    <w:p w14:paraId="7955ACD4" w14:textId="0A709469" w:rsidR="00C723FF" w:rsidRPr="005D04E9" w:rsidRDefault="00C723FF" w:rsidP="007314ED">
      <w:pPr>
        <w:pStyle w:val="Default"/>
        <w:rPr>
          <w:sz w:val="22"/>
          <w:szCs w:val="22"/>
        </w:rPr>
      </w:pPr>
      <w:r w:rsidRPr="005D04E9">
        <w:rPr>
          <w:b/>
          <w:bCs/>
          <w:color w:val="00B050"/>
          <w:sz w:val="22"/>
          <w:szCs w:val="22"/>
        </w:rPr>
        <w:t>WHEREAS</w:t>
      </w:r>
      <w:r w:rsidRPr="005D04E9">
        <w:rPr>
          <w:b/>
          <w:bCs/>
          <w:sz w:val="22"/>
          <w:szCs w:val="22"/>
        </w:rPr>
        <w:t xml:space="preserve"> </w:t>
      </w:r>
      <w:r>
        <w:rPr>
          <w:sz w:val="22"/>
          <w:szCs w:val="22"/>
        </w:rPr>
        <w:t>Th</w:t>
      </w:r>
      <w:r w:rsidRPr="005D04E9">
        <w:rPr>
          <w:sz w:val="22"/>
          <w:szCs w:val="22"/>
        </w:rPr>
        <w:t xml:space="preserve">e Federation of Canadian Municipalities (FCM) and ICLEI–Local Governments for Sustainability </w:t>
      </w:r>
      <w:r w:rsidR="00B77942">
        <w:rPr>
          <w:sz w:val="22"/>
          <w:szCs w:val="22"/>
        </w:rPr>
        <w:t xml:space="preserve">(ICLEI Canada) </w:t>
      </w:r>
      <w:r w:rsidRPr="005D04E9">
        <w:rPr>
          <w:sz w:val="22"/>
          <w:szCs w:val="22"/>
        </w:rPr>
        <w:t xml:space="preserve">have established the Partners for Climate Protection (PCP) program to provide a forum for municipal governments to share their knowledge and experience with other municipal governments on how to reduce GHG emissions; </w:t>
      </w:r>
    </w:p>
    <w:p w14:paraId="66D4292A" w14:textId="77777777" w:rsidR="00C723FF" w:rsidRPr="005D04E9" w:rsidRDefault="00C723FF" w:rsidP="007314ED">
      <w:pPr>
        <w:pStyle w:val="Default"/>
        <w:rPr>
          <w:b/>
          <w:bCs/>
          <w:sz w:val="22"/>
          <w:szCs w:val="22"/>
        </w:rPr>
      </w:pPr>
    </w:p>
    <w:p w14:paraId="743C1CAD" w14:textId="37BB05EF" w:rsidR="00C723FF" w:rsidRPr="005D04E9" w:rsidRDefault="00C723FF" w:rsidP="007314ED">
      <w:pPr>
        <w:pStyle w:val="Default"/>
        <w:rPr>
          <w:sz w:val="22"/>
          <w:szCs w:val="22"/>
        </w:rPr>
      </w:pPr>
      <w:r w:rsidRPr="005D04E9">
        <w:rPr>
          <w:b/>
          <w:bCs/>
          <w:color w:val="00B050"/>
          <w:sz w:val="22"/>
          <w:szCs w:val="22"/>
        </w:rPr>
        <w:t>WHEREAS</w:t>
      </w:r>
      <w:r w:rsidRPr="005D04E9">
        <w:rPr>
          <w:b/>
          <w:bCs/>
          <w:sz w:val="22"/>
          <w:szCs w:val="22"/>
        </w:rPr>
        <w:t xml:space="preserve"> </w:t>
      </w:r>
      <w:r w:rsidRPr="005D04E9">
        <w:rPr>
          <w:sz w:val="22"/>
          <w:szCs w:val="22"/>
        </w:rPr>
        <w:t xml:space="preserve">over </w:t>
      </w:r>
      <w:r w:rsidR="007314ED">
        <w:rPr>
          <w:sz w:val="22"/>
          <w:szCs w:val="22"/>
        </w:rPr>
        <w:t>350</w:t>
      </w:r>
      <w:r w:rsidR="007314ED" w:rsidRPr="005D04E9">
        <w:rPr>
          <w:sz w:val="22"/>
          <w:szCs w:val="22"/>
        </w:rPr>
        <w:t xml:space="preserve"> </w:t>
      </w:r>
      <w:r w:rsidRPr="005D04E9">
        <w:rPr>
          <w:sz w:val="22"/>
          <w:szCs w:val="22"/>
        </w:rPr>
        <w:t xml:space="preserve">municipal governments across Canada representing more than 65 per cent of the population have already committed to reducing corporate and community GHG emissions through the PCP program since its inception in 1994; </w:t>
      </w:r>
    </w:p>
    <w:p w14:paraId="412512AE" w14:textId="77777777" w:rsidR="00C723FF" w:rsidRPr="005D04E9" w:rsidRDefault="00C723FF" w:rsidP="007314ED">
      <w:pPr>
        <w:pStyle w:val="Default"/>
        <w:rPr>
          <w:b/>
          <w:bCs/>
          <w:sz w:val="22"/>
          <w:szCs w:val="22"/>
        </w:rPr>
      </w:pPr>
    </w:p>
    <w:p w14:paraId="464A8489" w14:textId="77777777" w:rsidR="007314ED" w:rsidRPr="007314ED" w:rsidRDefault="00C723FF" w:rsidP="007314ED">
      <w:pPr>
        <w:spacing w:after="0"/>
        <w:rPr>
          <w:rFonts w:ascii="Arial" w:hAnsi="Arial" w:cs="Arial"/>
          <w:bCs/>
        </w:rPr>
      </w:pPr>
      <w:r w:rsidRPr="005D04E9">
        <w:rPr>
          <w:rFonts w:ascii="Arial" w:hAnsi="Arial" w:cs="Arial"/>
          <w:b/>
          <w:bCs/>
          <w:color w:val="00B050"/>
        </w:rPr>
        <w:t>WHEREAS</w:t>
      </w:r>
      <w:r w:rsidRPr="005D04E9">
        <w:rPr>
          <w:rFonts w:ascii="Arial" w:hAnsi="Arial" w:cs="Arial"/>
          <w:b/>
          <w:bCs/>
        </w:rPr>
        <w:t xml:space="preserve"> </w:t>
      </w:r>
      <w:r w:rsidRPr="005D04E9">
        <w:rPr>
          <w:rFonts w:ascii="Arial" w:hAnsi="Arial" w:cs="Arial"/>
        </w:rPr>
        <w:t>the PCP program is based on a five-milestone framework that involves completing a GHG inventory and forecast, setting a GHG reduction target, developing a local action plan, implementing the plan, and monitoring progress and reporting results;</w:t>
      </w:r>
      <w:r w:rsidR="007314ED">
        <w:rPr>
          <w:rFonts w:ascii="Arial" w:hAnsi="Arial" w:cs="Arial"/>
          <w:bCs/>
        </w:rPr>
        <w:t xml:space="preserve"> </w:t>
      </w:r>
    </w:p>
    <w:p w14:paraId="70031B59" w14:textId="1F64A005" w:rsidR="00C723FF" w:rsidRDefault="00C723FF" w:rsidP="007314ED">
      <w:pPr>
        <w:pStyle w:val="Default"/>
        <w:rPr>
          <w:b/>
          <w:bCs/>
          <w:sz w:val="22"/>
          <w:szCs w:val="22"/>
        </w:rPr>
      </w:pPr>
    </w:p>
    <w:p w14:paraId="423D29BB" w14:textId="10DF2C63" w:rsidR="00C723FF" w:rsidRDefault="00C723FF" w:rsidP="007314ED">
      <w:pPr>
        <w:pStyle w:val="Default"/>
        <w:rPr>
          <w:sz w:val="22"/>
          <w:szCs w:val="22"/>
        </w:rPr>
      </w:pPr>
      <w:r w:rsidRPr="005D04E9">
        <w:rPr>
          <w:b/>
          <w:bCs/>
          <w:color w:val="00B050"/>
          <w:sz w:val="22"/>
          <w:szCs w:val="22"/>
        </w:rPr>
        <w:t xml:space="preserve">BE IT RESOLVED </w:t>
      </w:r>
      <w:r>
        <w:rPr>
          <w:sz w:val="22"/>
          <w:szCs w:val="22"/>
        </w:rPr>
        <w:t xml:space="preserve">that the municipality of ___________________________________review the guidelines on </w:t>
      </w:r>
      <w:r w:rsidR="00B77942">
        <w:rPr>
          <w:rStyle w:val="Hyperlink"/>
          <w:color w:val="auto"/>
          <w:sz w:val="22"/>
          <w:szCs w:val="22"/>
          <w:u w:val="none"/>
        </w:rPr>
        <w:t>PCP Member Benefits and R</w:t>
      </w:r>
      <w:r w:rsidR="00112E76" w:rsidRPr="00B77942">
        <w:rPr>
          <w:rStyle w:val="Hyperlink"/>
          <w:color w:val="auto"/>
          <w:sz w:val="22"/>
          <w:szCs w:val="22"/>
          <w:u w:val="none"/>
        </w:rPr>
        <w:t>esponsibilities</w:t>
      </w:r>
      <w:r w:rsidRPr="00B77942">
        <w:rPr>
          <w:color w:val="auto"/>
          <w:sz w:val="22"/>
          <w:szCs w:val="22"/>
        </w:rPr>
        <w:t xml:space="preserve"> </w:t>
      </w:r>
      <w:r>
        <w:rPr>
          <w:sz w:val="22"/>
          <w:szCs w:val="22"/>
        </w:rPr>
        <w:t xml:space="preserve">and then communicate to FCM </w:t>
      </w:r>
      <w:r w:rsidR="00C45DD1">
        <w:rPr>
          <w:sz w:val="22"/>
          <w:szCs w:val="22"/>
        </w:rPr>
        <w:t xml:space="preserve">and ICLEI Canada </w:t>
      </w:r>
      <w:r>
        <w:rPr>
          <w:sz w:val="22"/>
          <w:szCs w:val="22"/>
        </w:rPr>
        <w:t xml:space="preserve">its participation in the PCP program and its commitment to achieving the milestones set out in the PCP five-milestone framework; </w:t>
      </w:r>
    </w:p>
    <w:p w14:paraId="3F76C346" w14:textId="77777777" w:rsidR="00C723FF" w:rsidRDefault="00C723FF" w:rsidP="00C723FF">
      <w:pPr>
        <w:pStyle w:val="Default"/>
        <w:rPr>
          <w:b/>
          <w:bCs/>
          <w:sz w:val="22"/>
          <w:szCs w:val="22"/>
        </w:rPr>
      </w:pPr>
    </w:p>
    <w:p w14:paraId="4A2E3430" w14:textId="77777777" w:rsidR="00C723FF" w:rsidRDefault="00C723FF" w:rsidP="00C723FF">
      <w:pPr>
        <w:pStyle w:val="Default"/>
        <w:rPr>
          <w:sz w:val="22"/>
          <w:szCs w:val="22"/>
        </w:rPr>
      </w:pPr>
      <w:r w:rsidRPr="005D04E9">
        <w:rPr>
          <w:b/>
          <w:bCs/>
          <w:color w:val="00B050"/>
          <w:sz w:val="22"/>
          <w:szCs w:val="22"/>
        </w:rPr>
        <w:t xml:space="preserve">BE IT FURTHER RESOLVED </w:t>
      </w:r>
      <w:r>
        <w:rPr>
          <w:sz w:val="22"/>
          <w:szCs w:val="22"/>
        </w:rPr>
        <w:t xml:space="preserve">that the municipality of ___________________________appoint the following: </w:t>
      </w:r>
    </w:p>
    <w:p w14:paraId="6994F485" w14:textId="77777777" w:rsidR="00C723FF" w:rsidRDefault="00C723FF" w:rsidP="00C723FF">
      <w:pPr>
        <w:pStyle w:val="Default"/>
        <w:rPr>
          <w:sz w:val="22"/>
          <w:szCs w:val="22"/>
        </w:rPr>
      </w:pPr>
    </w:p>
    <w:p w14:paraId="12757F6A" w14:textId="77777777" w:rsidR="00C723FF" w:rsidRDefault="00C723FF" w:rsidP="00C723FF">
      <w:pPr>
        <w:pStyle w:val="Default"/>
        <w:rPr>
          <w:sz w:val="22"/>
          <w:szCs w:val="22"/>
        </w:rPr>
      </w:pPr>
      <w:r>
        <w:rPr>
          <w:sz w:val="22"/>
          <w:szCs w:val="22"/>
        </w:rPr>
        <w:t xml:space="preserve">a) Corporate staff person (Name) ______________________________________________ </w:t>
      </w:r>
    </w:p>
    <w:p w14:paraId="24EBFD08" w14:textId="08AE124F" w:rsidR="007D1748" w:rsidRDefault="007D1748" w:rsidP="007D1748">
      <w:pPr>
        <w:pStyle w:val="Default"/>
        <w:ind w:left="720" w:firstLine="720"/>
        <w:rPr>
          <w:sz w:val="22"/>
          <w:szCs w:val="22"/>
        </w:rPr>
      </w:pPr>
      <w:r>
        <w:rPr>
          <w:sz w:val="22"/>
          <w:szCs w:val="22"/>
        </w:rPr>
        <w:t xml:space="preserve"> (Job Title) ____________________________________________________</w:t>
      </w:r>
    </w:p>
    <w:p w14:paraId="40A5CAF7" w14:textId="390313D6" w:rsidR="00C723FF" w:rsidRDefault="00C723FF" w:rsidP="007314ED">
      <w:pPr>
        <w:pStyle w:val="Default"/>
        <w:ind w:left="720" w:firstLine="720"/>
        <w:rPr>
          <w:sz w:val="22"/>
          <w:szCs w:val="22"/>
        </w:rPr>
      </w:pPr>
      <w:r>
        <w:rPr>
          <w:sz w:val="22"/>
          <w:szCs w:val="22"/>
        </w:rPr>
        <w:t>(Contact number) _______</w:t>
      </w:r>
      <w:r w:rsidR="007314ED">
        <w:rPr>
          <w:sz w:val="22"/>
          <w:szCs w:val="22"/>
        </w:rPr>
        <w:t>_______________________________________</w:t>
      </w:r>
      <w:r w:rsidR="007D1748">
        <w:rPr>
          <w:sz w:val="22"/>
          <w:szCs w:val="22"/>
        </w:rPr>
        <w:t>_</w:t>
      </w:r>
    </w:p>
    <w:p w14:paraId="33684E2E" w14:textId="77777777" w:rsidR="00C723FF" w:rsidRDefault="00C723FF" w:rsidP="007314ED">
      <w:pPr>
        <w:pStyle w:val="Default"/>
        <w:ind w:left="720" w:firstLine="720"/>
        <w:rPr>
          <w:sz w:val="22"/>
          <w:szCs w:val="22"/>
        </w:rPr>
      </w:pPr>
      <w:r>
        <w:rPr>
          <w:sz w:val="22"/>
          <w:szCs w:val="22"/>
        </w:rPr>
        <w:t>(Email address) ________</w:t>
      </w:r>
      <w:r w:rsidR="007314ED">
        <w:rPr>
          <w:sz w:val="22"/>
          <w:szCs w:val="22"/>
        </w:rPr>
        <w:t>________________________________________</w:t>
      </w:r>
    </w:p>
    <w:p w14:paraId="438C1C7E" w14:textId="77777777" w:rsidR="00C723FF" w:rsidRDefault="00C723FF" w:rsidP="00C723FF">
      <w:pPr>
        <w:pStyle w:val="Default"/>
        <w:rPr>
          <w:sz w:val="22"/>
          <w:szCs w:val="22"/>
        </w:rPr>
      </w:pPr>
    </w:p>
    <w:p w14:paraId="712DE92F" w14:textId="07E89994" w:rsidR="00C723FF" w:rsidRDefault="00C723FF" w:rsidP="00C723FF">
      <w:pPr>
        <w:pStyle w:val="Default"/>
        <w:rPr>
          <w:sz w:val="22"/>
          <w:szCs w:val="22"/>
        </w:rPr>
      </w:pPr>
      <w:r>
        <w:rPr>
          <w:sz w:val="22"/>
          <w:szCs w:val="22"/>
        </w:rPr>
        <w:t>b) Elected official (Name) ______________________________________________</w:t>
      </w:r>
      <w:r w:rsidR="00E127D0">
        <w:rPr>
          <w:sz w:val="22"/>
          <w:szCs w:val="22"/>
        </w:rPr>
        <w:t>______</w:t>
      </w:r>
      <w:r w:rsidR="007D1748">
        <w:rPr>
          <w:sz w:val="22"/>
          <w:szCs w:val="22"/>
        </w:rPr>
        <w:t>_</w:t>
      </w:r>
      <w:bookmarkStart w:id="0" w:name="_GoBack"/>
      <w:bookmarkEnd w:id="0"/>
    </w:p>
    <w:p w14:paraId="5B6588B0" w14:textId="1E6A81B0" w:rsidR="007D1748" w:rsidRDefault="007D1748" w:rsidP="00C723FF">
      <w:pPr>
        <w:pStyle w:val="Default"/>
        <w:ind w:firstLine="720"/>
        <w:rPr>
          <w:sz w:val="22"/>
          <w:szCs w:val="22"/>
        </w:rPr>
      </w:pPr>
      <w:r>
        <w:rPr>
          <w:sz w:val="22"/>
          <w:szCs w:val="22"/>
        </w:rPr>
        <w:t>(Job Title) ___________________________________________________________</w:t>
      </w:r>
    </w:p>
    <w:p w14:paraId="0957A0FF" w14:textId="461CD6B4" w:rsidR="00C723FF" w:rsidRDefault="00C723FF" w:rsidP="00C723FF">
      <w:pPr>
        <w:pStyle w:val="Default"/>
        <w:ind w:firstLine="720"/>
        <w:rPr>
          <w:sz w:val="22"/>
          <w:szCs w:val="22"/>
        </w:rPr>
      </w:pPr>
      <w:r>
        <w:rPr>
          <w:sz w:val="22"/>
          <w:szCs w:val="22"/>
        </w:rPr>
        <w:t>(Contact number) _______</w:t>
      </w:r>
      <w:r w:rsidR="007314ED">
        <w:rPr>
          <w:sz w:val="22"/>
          <w:szCs w:val="22"/>
        </w:rPr>
        <w:t>________________________________________</w:t>
      </w:r>
      <w:r w:rsidR="00E127D0">
        <w:rPr>
          <w:sz w:val="22"/>
          <w:szCs w:val="22"/>
        </w:rPr>
        <w:t>______</w:t>
      </w:r>
    </w:p>
    <w:p w14:paraId="01C7FFED" w14:textId="76FDF68E" w:rsidR="00C723FF" w:rsidRDefault="00C723FF" w:rsidP="00C723FF">
      <w:pPr>
        <w:pStyle w:val="Default"/>
        <w:ind w:firstLine="720"/>
        <w:rPr>
          <w:sz w:val="22"/>
          <w:szCs w:val="22"/>
        </w:rPr>
      </w:pPr>
      <w:r>
        <w:rPr>
          <w:sz w:val="22"/>
          <w:szCs w:val="22"/>
        </w:rPr>
        <w:t>(Email address) ________</w:t>
      </w:r>
      <w:r w:rsidR="007314ED">
        <w:rPr>
          <w:sz w:val="22"/>
          <w:szCs w:val="22"/>
        </w:rPr>
        <w:t>________________________________________</w:t>
      </w:r>
      <w:r w:rsidR="00E127D0">
        <w:rPr>
          <w:sz w:val="22"/>
          <w:szCs w:val="22"/>
        </w:rPr>
        <w:t>______</w:t>
      </w:r>
      <w:r w:rsidR="007D1748">
        <w:rPr>
          <w:sz w:val="22"/>
          <w:szCs w:val="22"/>
        </w:rPr>
        <w:t>_</w:t>
      </w:r>
    </w:p>
    <w:p w14:paraId="70B1DDCB" w14:textId="77777777" w:rsidR="00C723FF" w:rsidRPr="007314ED" w:rsidRDefault="00C723FF" w:rsidP="00C723FF">
      <w:pPr>
        <w:pStyle w:val="Default"/>
        <w:rPr>
          <w:sz w:val="22"/>
          <w:szCs w:val="22"/>
        </w:rPr>
      </w:pPr>
    </w:p>
    <w:p w14:paraId="7296A583" w14:textId="77777777" w:rsidR="00C723FF" w:rsidRPr="007314ED" w:rsidRDefault="007314ED" w:rsidP="00C723FF">
      <w:pPr>
        <w:pStyle w:val="Default"/>
        <w:rPr>
          <w:sz w:val="22"/>
          <w:szCs w:val="22"/>
        </w:rPr>
      </w:pPr>
      <w:proofErr w:type="gramStart"/>
      <w:r>
        <w:rPr>
          <w:sz w:val="22"/>
          <w:szCs w:val="22"/>
        </w:rPr>
        <w:t>t</w:t>
      </w:r>
      <w:r w:rsidR="00C723FF" w:rsidRPr="007314ED">
        <w:rPr>
          <w:sz w:val="22"/>
          <w:szCs w:val="22"/>
        </w:rPr>
        <w:t>o</w:t>
      </w:r>
      <w:proofErr w:type="gramEnd"/>
      <w:r w:rsidR="00C723FF" w:rsidRPr="007314ED">
        <w:rPr>
          <w:sz w:val="22"/>
          <w:szCs w:val="22"/>
        </w:rPr>
        <w:t xml:space="preserve"> oversee implementation of the PCP milestones and be the points of contact for the PCP program within the municipality. </w:t>
      </w:r>
    </w:p>
    <w:p w14:paraId="18589199" w14:textId="77777777" w:rsidR="007314ED" w:rsidRPr="005D04E9" w:rsidRDefault="007314ED" w:rsidP="00C723FF">
      <w:pPr>
        <w:pStyle w:val="Default"/>
        <w:rPr>
          <w:i/>
          <w:sz w:val="22"/>
          <w:szCs w:val="22"/>
        </w:rPr>
      </w:pPr>
    </w:p>
    <w:p w14:paraId="18D64991" w14:textId="77777777" w:rsidR="00C723FF" w:rsidRPr="005D04E9" w:rsidRDefault="00C723FF" w:rsidP="00C723FF">
      <w:pPr>
        <w:pStyle w:val="Default"/>
        <w:rPr>
          <w:sz w:val="22"/>
          <w:szCs w:val="22"/>
        </w:rPr>
      </w:pPr>
      <w:r w:rsidRPr="005D04E9">
        <w:rPr>
          <w:sz w:val="22"/>
          <w:szCs w:val="22"/>
        </w:rPr>
        <w:t xml:space="preserve">______________________________________ Signature </w:t>
      </w:r>
    </w:p>
    <w:p w14:paraId="6FD0EEE1" w14:textId="77777777" w:rsidR="00C723FF" w:rsidRPr="005D04E9" w:rsidRDefault="00C723FF" w:rsidP="00C723FF">
      <w:pPr>
        <w:rPr>
          <w:rFonts w:ascii="Arial" w:hAnsi="Arial" w:cs="Arial"/>
        </w:rPr>
      </w:pPr>
      <w:r w:rsidRPr="005D04E9">
        <w:rPr>
          <w:rFonts w:ascii="Arial" w:hAnsi="Arial" w:cs="Arial"/>
        </w:rPr>
        <w:t>______________________________________ Date</w:t>
      </w:r>
    </w:p>
    <w:p w14:paraId="3D691836" w14:textId="77777777" w:rsidR="00C723FF" w:rsidRDefault="00C723FF">
      <w:pPr>
        <w:rPr>
          <w:rFonts w:ascii="Arial" w:hAnsi="Arial" w:cs="Arial"/>
          <w:b/>
          <w:bCs/>
          <w:color w:val="00B050"/>
        </w:rPr>
      </w:pPr>
    </w:p>
    <w:p w14:paraId="03D2ADCE" w14:textId="77777777" w:rsidR="00C723FF" w:rsidRDefault="00C723FF" w:rsidP="00C723FF">
      <w:pPr>
        <w:rPr>
          <w:b/>
          <w:bCs/>
          <w:color w:val="00B050"/>
        </w:rPr>
      </w:pPr>
    </w:p>
    <w:p w14:paraId="446277AD" w14:textId="77777777" w:rsidR="00C723FF" w:rsidRPr="00C723FF" w:rsidRDefault="00C723FF" w:rsidP="00C723FF">
      <w:pPr>
        <w:rPr>
          <w:rFonts w:ascii="Arial" w:hAnsi="Arial" w:cs="Arial"/>
          <w:b/>
          <w:bCs/>
          <w:color w:val="00B050"/>
        </w:rPr>
      </w:pPr>
    </w:p>
    <w:p w14:paraId="1095F866" w14:textId="77777777" w:rsidR="007314ED" w:rsidRDefault="007314ED">
      <w:pPr>
        <w:rPr>
          <w:rFonts w:ascii="Arial" w:hAnsi="Arial" w:cs="Arial"/>
          <w:b/>
          <w:bCs/>
          <w:color w:val="00B050"/>
        </w:rPr>
      </w:pPr>
      <w:r>
        <w:rPr>
          <w:rFonts w:ascii="Arial" w:hAnsi="Arial" w:cs="Arial"/>
          <w:b/>
          <w:bCs/>
          <w:color w:val="00B050"/>
        </w:rPr>
        <w:br w:type="page"/>
      </w:r>
    </w:p>
    <w:p w14:paraId="6164EF43" w14:textId="77777777" w:rsidR="00C723FF" w:rsidRDefault="00C723FF" w:rsidP="005D04E9">
      <w:pPr>
        <w:pStyle w:val="Default"/>
        <w:rPr>
          <w:b/>
          <w:bCs/>
          <w:color w:val="00B050"/>
          <w:sz w:val="22"/>
          <w:szCs w:val="22"/>
        </w:rPr>
      </w:pPr>
    </w:p>
    <w:p w14:paraId="783BBE72" w14:textId="77777777" w:rsidR="001757B7" w:rsidRPr="001757B7" w:rsidRDefault="001757B7" w:rsidP="001757B7">
      <w:pPr>
        <w:pStyle w:val="Default"/>
        <w:rPr>
          <w:b/>
          <w:bCs/>
          <w:color w:val="00B050"/>
          <w:sz w:val="22"/>
          <w:szCs w:val="22"/>
        </w:rPr>
      </w:pPr>
      <w:r>
        <w:rPr>
          <w:b/>
          <w:bCs/>
          <w:color w:val="00B050"/>
          <w:sz w:val="22"/>
          <w:szCs w:val="22"/>
        </w:rPr>
        <w:t>PCP Member Benefits and R</w:t>
      </w:r>
      <w:r w:rsidRPr="001757B7">
        <w:rPr>
          <w:b/>
          <w:bCs/>
          <w:color w:val="00B050"/>
          <w:sz w:val="22"/>
          <w:szCs w:val="22"/>
        </w:rPr>
        <w:t>esponsibilities</w:t>
      </w:r>
    </w:p>
    <w:p w14:paraId="2706104E" w14:textId="77777777" w:rsidR="001757B7" w:rsidRPr="001757B7" w:rsidRDefault="001757B7" w:rsidP="001757B7">
      <w:pPr>
        <w:pStyle w:val="Default"/>
        <w:rPr>
          <w:b/>
          <w:bCs/>
          <w:color w:val="00B050"/>
          <w:sz w:val="22"/>
          <w:szCs w:val="22"/>
        </w:rPr>
      </w:pPr>
    </w:p>
    <w:p w14:paraId="2EAC419A" w14:textId="77777777" w:rsidR="001757B7" w:rsidRPr="001757B7" w:rsidRDefault="001757B7" w:rsidP="001757B7">
      <w:pPr>
        <w:pStyle w:val="Default"/>
        <w:rPr>
          <w:bCs/>
          <w:color w:val="auto"/>
          <w:sz w:val="22"/>
          <w:szCs w:val="22"/>
        </w:rPr>
      </w:pPr>
      <w:r w:rsidRPr="001757B7">
        <w:rPr>
          <w:bCs/>
          <w:color w:val="auto"/>
          <w:sz w:val="22"/>
          <w:szCs w:val="22"/>
        </w:rPr>
        <w:t>The PCP program offers you a proven approach to reducing greenhouse gas (GHG) emissions, and the support you need to achieve success. Being actively engaged in the PCP program gives your municipality the chance to become a leader by taking systematic and organized action on climate change. By participating in the PCP program, Canadian municipalities gain access to the following tools and resources:</w:t>
      </w:r>
    </w:p>
    <w:p w14:paraId="215D6C71" w14:textId="77777777" w:rsidR="001757B7" w:rsidRPr="001757B7" w:rsidRDefault="001757B7" w:rsidP="001757B7">
      <w:pPr>
        <w:pStyle w:val="Default"/>
        <w:rPr>
          <w:bCs/>
          <w:color w:val="auto"/>
          <w:sz w:val="22"/>
          <w:szCs w:val="22"/>
        </w:rPr>
      </w:pPr>
    </w:p>
    <w:p w14:paraId="1815E712" w14:textId="77777777" w:rsidR="001757B7" w:rsidRPr="001757B7" w:rsidRDefault="001757B7" w:rsidP="009C2901">
      <w:pPr>
        <w:pStyle w:val="Default"/>
        <w:numPr>
          <w:ilvl w:val="0"/>
          <w:numId w:val="3"/>
        </w:numPr>
        <w:rPr>
          <w:bCs/>
          <w:color w:val="auto"/>
          <w:sz w:val="22"/>
          <w:szCs w:val="22"/>
        </w:rPr>
      </w:pPr>
      <w:r w:rsidRPr="001757B7">
        <w:rPr>
          <w:bCs/>
          <w:color w:val="auto"/>
          <w:sz w:val="22"/>
          <w:szCs w:val="22"/>
        </w:rPr>
        <w:t>Support and guidance, through the PCP Milestone Framework, to help members reduce GHG emissions.</w:t>
      </w:r>
    </w:p>
    <w:p w14:paraId="1B4E63F9" w14:textId="71DA300F" w:rsidR="001757B7" w:rsidRPr="001757B7" w:rsidRDefault="001757B7" w:rsidP="009C2901">
      <w:pPr>
        <w:pStyle w:val="Default"/>
        <w:numPr>
          <w:ilvl w:val="0"/>
          <w:numId w:val="3"/>
        </w:numPr>
        <w:rPr>
          <w:bCs/>
          <w:color w:val="auto"/>
          <w:sz w:val="22"/>
          <w:szCs w:val="22"/>
        </w:rPr>
      </w:pPr>
      <w:r>
        <w:rPr>
          <w:bCs/>
          <w:color w:val="auto"/>
          <w:sz w:val="22"/>
          <w:szCs w:val="22"/>
        </w:rPr>
        <w:t xml:space="preserve">Access via the PCP Hub to a network of </w:t>
      </w:r>
      <w:r w:rsidR="00904907">
        <w:rPr>
          <w:bCs/>
          <w:color w:val="auto"/>
          <w:sz w:val="22"/>
          <w:szCs w:val="22"/>
        </w:rPr>
        <w:t xml:space="preserve">over </w:t>
      </w:r>
      <w:r>
        <w:rPr>
          <w:bCs/>
          <w:color w:val="auto"/>
          <w:sz w:val="22"/>
          <w:szCs w:val="22"/>
        </w:rPr>
        <w:t>35</w:t>
      </w:r>
      <w:r w:rsidRPr="001757B7">
        <w:rPr>
          <w:bCs/>
          <w:color w:val="auto"/>
          <w:sz w:val="22"/>
          <w:szCs w:val="22"/>
        </w:rPr>
        <w:t>0 local governments across Canada that are taking action on climate change and can help your community succeed by offering their experience and examples.</w:t>
      </w:r>
    </w:p>
    <w:p w14:paraId="295E1768" w14:textId="77777777" w:rsidR="001757B7" w:rsidRPr="001757B7" w:rsidRDefault="001757B7" w:rsidP="009C2901">
      <w:pPr>
        <w:pStyle w:val="Default"/>
        <w:numPr>
          <w:ilvl w:val="0"/>
          <w:numId w:val="3"/>
        </w:numPr>
        <w:rPr>
          <w:bCs/>
          <w:color w:val="auto"/>
          <w:sz w:val="22"/>
          <w:szCs w:val="22"/>
        </w:rPr>
      </w:pPr>
      <w:r w:rsidRPr="001757B7">
        <w:rPr>
          <w:bCs/>
          <w:color w:val="auto"/>
          <w:sz w:val="22"/>
          <w:szCs w:val="22"/>
        </w:rPr>
        <w:t>Technical support tools, including the PCP Milestone Tool and PCP Protocol.</w:t>
      </w:r>
    </w:p>
    <w:p w14:paraId="19B4C35B" w14:textId="77777777" w:rsidR="001757B7" w:rsidRPr="001757B7" w:rsidRDefault="001757B7" w:rsidP="009C2901">
      <w:pPr>
        <w:pStyle w:val="Default"/>
        <w:numPr>
          <w:ilvl w:val="0"/>
          <w:numId w:val="3"/>
        </w:numPr>
        <w:rPr>
          <w:bCs/>
          <w:color w:val="auto"/>
          <w:sz w:val="22"/>
          <w:szCs w:val="22"/>
        </w:rPr>
      </w:pPr>
      <w:r w:rsidRPr="001757B7">
        <w:rPr>
          <w:bCs/>
          <w:color w:val="auto"/>
          <w:sz w:val="22"/>
          <w:szCs w:val="22"/>
        </w:rPr>
        <w:t>Information and access to funding opportunities, such as those offered by FCM's Green Municipal Fund.</w:t>
      </w:r>
    </w:p>
    <w:p w14:paraId="46B733FA" w14:textId="77777777" w:rsidR="001757B7" w:rsidRPr="001757B7" w:rsidRDefault="001757B7" w:rsidP="009C2901">
      <w:pPr>
        <w:pStyle w:val="Default"/>
        <w:numPr>
          <w:ilvl w:val="0"/>
          <w:numId w:val="3"/>
        </w:numPr>
        <w:rPr>
          <w:bCs/>
          <w:color w:val="auto"/>
          <w:sz w:val="22"/>
          <w:szCs w:val="22"/>
        </w:rPr>
      </w:pPr>
      <w:r w:rsidRPr="001757B7">
        <w:rPr>
          <w:bCs/>
          <w:color w:val="auto"/>
          <w:sz w:val="22"/>
          <w:szCs w:val="22"/>
        </w:rPr>
        <w:t>Capacity-building resources, including workshops, case studies and training opportunities.</w:t>
      </w:r>
    </w:p>
    <w:p w14:paraId="7D51E751" w14:textId="77777777" w:rsidR="001757B7" w:rsidRDefault="001757B7" w:rsidP="009C2901">
      <w:pPr>
        <w:pStyle w:val="Default"/>
        <w:numPr>
          <w:ilvl w:val="0"/>
          <w:numId w:val="3"/>
        </w:numPr>
        <w:rPr>
          <w:bCs/>
          <w:color w:val="auto"/>
          <w:sz w:val="22"/>
          <w:szCs w:val="22"/>
        </w:rPr>
      </w:pPr>
      <w:r w:rsidRPr="001757B7">
        <w:rPr>
          <w:bCs/>
          <w:color w:val="auto"/>
          <w:sz w:val="22"/>
          <w:szCs w:val="22"/>
        </w:rPr>
        <w:t>Awards and recognition for milestone achievements and for reported measures.</w:t>
      </w:r>
    </w:p>
    <w:p w14:paraId="4A240509" w14:textId="77777777" w:rsidR="001757B7" w:rsidRDefault="001757B7" w:rsidP="001757B7">
      <w:pPr>
        <w:pStyle w:val="Default"/>
        <w:rPr>
          <w:bCs/>
          <w:color w:val="auto"/>
          <w:sz w:val="22"/>
          <w:szCs w:val="22"/>
        </w:rPr>
      </w:pPr>
    </w:p>
    <w:p w14:paraId="62E218C9" w14:textId="77777777" w:rsidR="001757B7" w:rsidRPr="001757B7" w:rsidRDefault="001757B7" w:rsidP="001757B7">
      <w:pPr>
        <w:pStyle w:val="Default"/>
        <w:rPr>
          <w:bCs/>
          <w:color w:val="auto"/>
          <w:sz w:val="22"/>
          <w:szCs w:val="22"/>
        </w:rPr>
      </w:pPr>
      <w:r w:rsidRPr="001757B7">
        <w:rPr>
          <w:bCs/>
          <w:color w:val="auto"/>
          <w:sz w:val="22"/>
          <w:szCs w:val="22"/>
        </w:rPr>
        <w:t>Members of the PCP program have the following responsibilities:</w:t>
      </w:r>
    </w:p>
    <w:p w14:paraId="16DDD427" w14:textId="77777777" w:rsidR="001757B7" w:rsidRPr="001757B7" w:rsidRDefault="001757B7" w:rsidP="001757B7">
      <w:pPr>
        <w:pStyle w:val="Default"/>
        <w:rPr>
          <w:bCs/>
          <w:color w:val="auto"/>
          <w:sz w:val="22"/>
          <w:szCs w:val="22"/>
        </w:rPr>
      </w:pPr>
    </w:p>
    <w:p w14:paraId="7E83EA11" w14:textId="77777777" w:rsidR="00F72C1F" w:rsidRPr="00F72C1F" w:rsidRDefault="00F72C1F" w:rsidP="00F72C1F">
      <w:pPr>
        <w:pStyle w:val="Default"/>
        <w:numPr>
          <w:ilvl w:val="0"/>
          <w:numId w:val="2"/>
        </w:numPr>
        <w:rPr>
          <w:bCs/>
          <w:color w:val="auto"/>
          <w:sz w:val="22"/>
          <w:szCs w:val="22"/>
        </w:rPr>
      </w:pPr>
      <w:r w:rsidRPr="00F72C1F">
        <w:rPr>
          <w:bCs/>
          <w:color w:val="auto"/>
          <w:sz w:val="22"/>
          <w:szCs w:val="22"/>
        </w:rPr>
        <w:t>Move through the Milestone Framework within 10 years of joining</w:t>
      </w:r>
    </w:p>
    <w:p w14:paraId="25B777AD" w14:textId="77777777" w:rsidR="00F72C1F" w:rsidRPr="00F72C1F" w:rsidRDefault="00F72C1F" w:rsidP="00F72C1F">
      <w:pPr>
        <w:pStyle w:val="Default"/>
        <w:numPr>
          <w:ilvl w:val="0"/>
          <w:numId w:val="2"/>
        </w:numPr>
        <w:rPr>
          <w:bCs/>
          <w:color w:val="auto"/>
          <w:sz w:val="22"/>
          <w:szCs w:val="22"/>
        </w:rPr>
      </w:pPr>
      <w:r w:rsidRPr="00F72C1F">
        <w:rPr>
          <w:bCs/>
          <w:color w:val="auto"/>
          <w:sz w:val="22"/>
          <w:szCs w:val="22"/>
        </w:rPr>
        <w:t>Report on progress at least once every two years, with our support</w:t>
      </w:r>
    </w:p>
    <w:p w14:paraId="0A76F819" w14:textId="77777777" w:rsidR="00F72C1F" w:rsidRPr="00F72C1F" w:rsidRDefault="00F72C1F" w:rsidP="00F72C1F">
      <w:pPr>
        <w:pStyle w:val="Default"/>
        <w:numPr>
          <w:ilvl w:val="0"/>
          <w:numId w:val="2"/>
        </w:numPr>
        <w:rPr>
          <w:bCs/>
          <w:color w:val="auto"/>
          <w:sz w:val="22"/>
          <w:szCs w:val="22"/>
        </w:rPr>
      </w:pPr>
      <w:r w:rsidRPr="00F72C1F">
        <w:rPr>
          <w:bCs/>
          <w:color w:val="auto"/>
          <w:sz w:val="22"/>
          <w:szCs w:val="22"/>
        </w:rPr>
        <w:t>Email us if your contact information changes</w:t>
      </w:r>
    </w:p>
    <w:p w14:paraId="11189F2B" w14:textId="77777777" w:rsidR="00F72C1F" w:rsidRPr="00F72C1F" w:rsidRDefault="00F72C1F" w:rsidP="00F72C1F">
      <w:pPr>
        <w:pStyle w:val="Default"/>
        <w:numPr>
          <w:ilvl w:val="0"/>
          <w:numId w:val="2"/>
        </w:numPr>
        <w:rPr>
          <w:bCs/>
          <w:color w:val="auto"/>
          <w:sz w:val="22"/>
          <w:szCs w:val="22"/>
        </w:rPr>
      </w:pPr>
      <w:r w:rsidRPr="00F72C1F">
        <w:rPr>
          <w:bCs/>
          <w:color w:val="auto"/>
          <w:sz w:val="22"/>
          <w:szCs w:val="22"/>
        </w:rPr>
        <w:t>Actively participate in program activities and share your experience with other network members</w:t>
      </w:r>
    </w:p>
    <w:p w14:paraId="58E6751A" w14:textId="77777777" w:rsidR="001757B7" w:rsidRDefault="001757B7" w:rsidP="005D04E9">
      <w:pPr>
        <w:pStyle w:val="Default"/>
        <w:rPr>
          <w:b/>
          <w:bCs/>
          <w:color w:val="00B050"/>
          <w:sz w:val="22"/>
          <w:szCs w:val="22"/>
        </w:rPr>
      </w:pPr>
    </w:p>
    <w:p w14:paraId="1C27599D" w14:textId="77777777" w:rsidR="001757B7" w:rsidRPr="009C2901" w:rsidRDefault="001757B7" w:rsidP="001757B7">
      <w:pPr>
        <w:pStyle w:val="Default"/>
        <w:rPr>
          <w:bCs/>
          <w:color w:val="auto"/>
          <w:sz w:val="22"/>
          <w:szCs w:val="22"/>
        </w:rPr>
      </w:pPr>
      <w:r w:rsidRPr="009C2901">
        <w:rPr>
          <w:bCs/>
          <w:color w:val="auto"/>
          <w:sz w:val="22"/>
          <w:szCs w:val="22"/>
        </w:rPr>
        <w:t xml:space="preserve">If your municipality is not able to meet the PCP program requirements, you can always leave the program and rejoin it </w:t>
      </w:r>
      <w:proofErr w:type="gramStart"/>
      <w:r w:rsidRPr="009C2901">
        <w:rPr>
          <w:bCs/>
          <w:color w:val="auto"/>
          <w:sz w:val="22"/>
          <w:szCs w:val="22"/>
        </w:rPr>
        <w:t>at a later date</w:t>
      </w:r>
      <w:proofErr w:type="gramEnd"/>
      <w:r w:rsidRPr="009C2901">
        <w:rPr>
          <w:bCs/>
          <w:color w:val="auto"/>
          <w:sz w:val="22"/>
          <w:szCs w:val="22"/>
        </w:rPr>
        <w:t>. You can also contact the PCP Secretariat anytime for help with submitting documentation to meet the requirements.</w:t>
      </w:r>
    </w:p>
    <w:p w14:paraId="257C7245" w14:textId="3E84E002" w:rsidR="00904907" w:rsidRDefault="00904907" w:rsidP="005D04E9">
      <w:pPr>
        <w:pStyle w:val="Default"/>
        <w:rPr>
          <w:b/>
          <w:bCs/>
          <w:color w:val="00B050"/>
          <w:sz w:val="22"/>
          <w:szCs w:val="22"/>
        </w:rPr>
      </w:pPr>
    </w:p>
    <w:p w14:paraId="32133C6B" w14:textId="77777777" w:rsidR="00904907" w:rsidRDefault="00904907">
      <w:pPr>
        <w:rPr>
          <w:rFonts w:ascii="Arial" w:hAnsi="Arial" w:cs="Arial"/>
          <w:b/>
          <w:bCs/>
          <w:color w:val="00B050"/>
        </w:rPr>
      </w:pPr>
      <w:r>
        <w:rPr>
          <w:b/>
          <w:bCs/>
          <w:color w:val="00B050"/>
        </w:rPr>
        <w:br w:type="page"/>
      </w:r>
    </w:p>
    <w:p w14:paraId="5017698F" w14:textId="6A1F9C28" w:rsidR="00C723FF" w:rsidRDefault="00904907" w:rsidP="005D04E9">
      <w:pPr>
        <w:pStyle w:val="Default"/>
        <w:rPr>
          <w:b/>
          <w:bCs/>
          <w:color w:val="00B050"/>
          <w:sz w:val="22"/>
          <w:szCs w:val="22"/>
        </w:rPr>
      </w:pPr>
      <w:r>
        <w:rPr>
          <w:b/>
          <w:bCs/>
          <w:color w:val="00B050"/>
          <w:sz w:val="22"/>
          <w:szCs w:val="22"/>
        </w:rPr>
        <w:lastRenderedPageBreak/>
        <w:t xml:space="preserve">Supporting </w:t>
      </w:r>
      <w:r w:rsidR="00C723FF">
        <w:rPr>
          <w:b/>
          <w:bCs/>
          <w:color w:val="00B050"/>
          <w:sz w:val="22"/>
          <w:szCs w:val="22"/>
        </w:rPr>
        <w:t xml:space="preserve">Rationale for Consideration </w:t>
      </w:r>
    </w:p>
    <w:p w14:paraId="2D398404" w14:textId="77777777" w:rsidR="00C723FF" w:rsidRDefault="00C723FF" w:rsidP="005D04E9">
      <w:pPr>
        <w:pStyle w:val="Default"/>
        <w:rPr>
          <w:b/>
          <w:bCs/>
          <w:color w:val="00B050"/>
          <w:sz w:val="22"/>
          <w:szCs w:val="22"/>
        </w:rPr>
      </w:pPr>
    </w:p>
    <w:p w14:paraId="128A6AF7" w14:textId="77777777" w:rsidR="00C723FF" w:rsidRPr="005D04E9" w:rsidRDefault="00C723FF" w:rsidP="00C723FF">
      <w:pPr>
        <w:pStyle w:val="Default"/>
        <w:rPr>
          <w:sz w:val="22"/>
          <w:szCs w:val="22"/>
        </w:rPr>
      </w:pPr>
      <w:r>
        <w:rPr>
          <w:sz w:val="22"/>
          <w:szCs w:val="22"/>
        </w:rPr>
        <w:t>It</w:t>
      </w:r>
      <w:r w:rsidRPr="005D04E9">
        <w:rPr>
          <w:sz w:val="22"/>
          <w:szCs w:val="22"/>
        </w:rPr>
        <w:t xml:space="preserve"> </w:t>
      </w:r>
      <w:proofErr w:type="gramStart"/>
      <w:r w:rsidRPr="005D04E9">
        <w:rPr>
          <w:sz w:val="22"/>
          <w:szCs w:val="22"/>
        </w:rPr>
        <w:t>is well established</w:t>
      </w:r>
      <w:proofErr w:type="gramEnd"/>
      <w:r w:rsidRPr="005D04E9">
        <w:rPr>
          <w:sz w:val="22"/>
          <w:szCs w:val="22"/>
        </w:rPr>
        <w:t xml:space="preserve"> that climate change is increasing the frequency of extreme weather events and posing other risks, such as drought, forest fires and rising sea levels, which present serious threats to our natural environment, our health, our jobs and</w:t>
      </w:r>
      <w:r w:rsidR="00AD6FB3">
        <w:rPr>
          <w:sz w:val="22"/>
          <w:szCs w:val="22"/>
        </w:rPr>
        <w:t xml:space="preserve"> our economy.</w:t>
      </w:r>
    </w:p>
    <w:p w14:paraId="63365394" w14:textId="77777777" w:rsidR="00C723FF" w:rsidRDefault="00C723FF" w:rsidP="005D04E9">
      <w:pPr>
        <w:pStyle w:val="Default"/>
        <w:rPr>
          <w:sz w:val="22"/>
          <w:szCs w:val="22"/>
        </w:rPr>
      </w:pPr>
    </w:p>
    <w:p w14:paraId="36314A67" w14:textId="77777777" w:rsidR="005D04E9" w:rsidRPr="00C723FF" w:rsidRDefault="00C723FF" w:rsidP="005D04E9">
      <w:pPr>
        <w:pStyle w:val="Default"/>
        <w:rPr>
          <w:b/>
          <w:bCs/>
          <w:color w:val="00B050"/>
          <w:sz w:val="22"/>
          <w:szCs w:val="22"/>
        </w:rPr>
      </w:pPr>
      <w:r>
        <w:rPr>
          <w:sz w:val="22"/>
          <w:szCs w:val="22"/>
        </w:rPr>
        <w:t>T</w:t>
      </w:r>
      <w:r w:rsidR="005D04E9" w:rsidRPr="005D04E9">
        <w:rPr>
          <w:sz w:val="22"/>
          <w:szCs w:val="22"/>
        </w:rPr>
        <w:t>he 2016 Paris Agreement, signed by more than 190 countries, including Canada, committed to limit the global temperature increase to below two degrees Celsius and to pursue efforts to limit this increase to 1.5 degrees Celsius, in order to avoid the mos</w:t>
      </w:r>
      <w:r w:rsidR="00AD6FB3">
        <w:rPr>
          <w:sz w:val="22"/>
          <w:szCs w:val="22"/>
        </w:rPr>
        <w:t>t severe climate change impacts.</w:t>
      </w:r>
      <w:r w:rsidR="005D04E9" w:rsidRPr="005D04E9">
        <w:rPr>
          <w:sz w:val="22"/>
          <w:szCs w:val="22"/>
        </w:rPr>
        <w:t xml:space="preserve"> </w:t>
      </w:r>
    </w:p>
    <w:p w14:paraId="1C003201" w14:textId="77777777" w:rsidR="00C723FF" w:rsidRDefault="00C723FF" w:rsidP="005D04E9">
      <w:pPr>
        <w:pStyle w:val="Default"/>
        <w:rPr>
          <w:b/>
          <w:bCs/>
          <w:sz w:val="22"/>
          <w:szCs w:val="22"/>
        </w:rPr>
      </w:pPr>
    </w:p>
    <w:p w14:paraId="4E8B0902" w14:textId="77777777" w:rsidR="005D04E9" w:rsidRPr="005D04E9" w:rsidRDefault="00C723FF" w:rsidP="005D04E9">
      <w:pPr>
        <w:pStyle w:val="Default"/>
        <w:rPr>
          <w:sz w:val="22"/>
          <w:szCs w:val="22"/>
        </w:rPr>
      </w:pPr>
      <w:r>
        <w:rPr>
          <w:sz w:val="22"/>
          <w:szCs w:val="22"/>
        </w:rPr>
        <w:t>L</w:t>
      </w:r>
      <w:r w:rsidR="005D04E9" w:rsidRPr="005D04E9">
        <w:rPr>
          <w:sz w:val="22"/>
          <w:szCs w:val="22"/>
        </w:rPr>
        <w:t>ocal governments are essential to the successful impleme</w:t>
      </w:r>
      <w:r w:rsidR="00AD6FB3">
        <w:rPr>
          <w:sz w:val="22"/>
          <w:szCs w:val="22"/>
        </w:rPr>
        <w:t>ntation of the Paris Agreement.</w:t>
      </w:r>
    </w:p>
    <w:p w14:paraId="46E577DB" w14:textId="77777777" w:rsidR="005D04E9" w:rsidRPr="005D04E9" w:rsidRDefault="005D04E9" w:rsidP="005D04E9">
      <w:pPr>
        <w:pStyle w:val="Default"/>
        <w:rPr>
          <w:b/>
          <w:bCs/>
          <w:sz w:val="22"/>
          <w:szCs w:val="22"/>
        </w:rPr>
      </w:pPr>
    </w:p>
    <w:p w14:paraId="6C33D623" w14:textId="77777777" w:rsidR="005D04E9" w:rsidRPr="005D04E9" w:rsidRDefault="005D04E9" w:rsidP="005D04E9">
      <w:pPr>
        <w:pStyle w:val="Default"/>
        <w:rPr>
          <w:sz w:val="22"/>
          <w:szCs w:val="22"/>
        </w:rPr>
      </w:pPr>
      <w:r w:rsidRPr="005D04E9">
        <w:rPr>
          <w:sz w:val="22"/>
          <w:szCs w:val="22"/>
        </w:rPr>
        <w:t>Canada’s cities and communities influence approximately 50 per cent of national greenhouse gas (GHG) emissions and can drive systemic low-carbon practices, including: building high-efficiency buildings, undertaking building retrofits and developing district heating; building active transit, electric vehicle infrastructure and electrified public transit; implementing near-zero GHG waste plans; and delivering high-efficiency</w:t>
      </w:r>
      <w:r w:rsidR="00AD6FB3">
        <w:rPr>
          <w:sz w:val="22"/>
          <w:szCs w:val="22"/>
        </w:rPr>
        <w:t xml:space="preserve"> water and wastewater services.</w:t>
      </w:r>
    </w:p>
    <w:p w14:paraId="1BAAE4CB" w14:textId="77777777" w:rsidR="005D04E9" w:rsidRPr="005D04E9" w:rsidRDefault="005D04E9" w:rsidP="005D04E9">
      <w:pPr>
        <w:pStyle w:val="Default"/>
        <w:rPr>
          <w:b/>
          <w:bCs/>
          <w:sz w:val="22"/>
          <w:szCs w:val="22"/>
        </w:rPr>
      </w:pPr>
    </w:p>
    <w:p w14:paraId="0617FEC4" w14:textId="77777777" w:rsidR="005D04E9" w:rsidRPr="005D04E9" w:rsidRDefault="00C723FF" w:rsidP="005D04E9">
      <w:pPr>
        <w:pStyle w:val="Default"/>
        <w:rPr>
          <w:sz w:val="22"/>
          <w:szCs w:val="22"/>
        </w:rPr>
      </w:pPr>
      <w:r>
        <w:rPr>
          <w:sz w:val="22"/>
          <w:szCs w:val="22"/>
        </w:rPr>
        <w:t>Inv</w:t>
      </w:r>
      <w:r w:rsidR="005D04E9" w:rsidRPr="005D04E9">
        <w:rPr>
          <w:sz w:val="22"/>
          <w:szCs w:val="22"/>
        </w:rPr>
        <w:t>estments in these types of measures also reduce operating costs, help municipalities maintain and plan for future community services, protect public health, support sustainable community development, increase community resilience and reduce a community's vulnerability to environmental</w:t>
      </w:r>
      <w:r w:rsidR="00AD6FB3">
        <w:rPr>
          <w:sz w:val="22"/>
          <w:szCs w:val="22"/>
        </w:rPr>
        <w:t>, economic and social stresses.</w:t>
      </w:r>
    </w:p>
    <w:p w14:paraId="61954F76" w14:textId="77777777" w:rsidR="005D04E9" w:rsidRPr="005D04E9" w:rsidRDefault="005D04E9" w:rsidP="005D04E9">
      <w:pPr>
        <w:pStyle w:val="Default"/>
        <w:rPr>
          <w:b/>
          <w:bCs/>
          <w:sz w:val="22"/>
          <w:szCs w:val="22"/>
        </w:rPr>
      </w:pPr>
    </w:p>
    <w:p w14:paraId="38164CCA" w14:textId="77777777" w:rsidR="005D04E9" w:rsidRDefault="00C723FF" w:rsidP="00AD6FB3">
      <w:pPr>
        <w:pStyle w:val="Default"/>
        <w:rPr>
          <w:sz w:val="22"/>
          <w:szCs w:val="22"/>
        </w:rPr>
      </w:pPr>
      <w:r>
        <w:rPr>
          <w:sz w:val="22"/>
          <w:szCs w:val="22"/>
        </w:rPr>
        <w:t xml:space="preserve">A </w:t>
      </w:r>
      <w:r w:rsidR="005D04E9" w:rsidRPr="005D04E9">
        <w:rPr>
          <w:sz w:val="22"/>
          <w:szCs w:val="22"/>
        </w:rPr>
        <w:t>number of government and international and national organizations have called for greater cooperation among all stakeholders to meet reduction targets, including Canada's Big City Mayors' Caucus, which supports binding GHG emission reduction targets at the international, national and city levels, action plans that cut emissions, identification of risks and mitigation solutions, and regular mu</w:t>
      </w:r>
      <w:r w:rsidR="00AD6FB3">
        <w:rPr>
          <w:sz w:val="22"/>
          <w:szCs w:val="22"/>
        </w:rPr>
        <w:t>nicipal GHG emissions reporting.</w:t>
      </w:r>
    </w:p>
    <w:p w14:paraId="4A8CC2F0" w14:textId="77777777" w:rsidR="001757B7" w:rsidRDefault="001757B7" w:rsidP="00AD6FB3">
      <w:pPr>
        <w:pStyle w:val="Default"/>
        <w:rPr>
          <w:sz w:val="22"/>
          <w:szCs w:val="22"/>
        </w:rPr>
      </w:pPr>
    </w:p>
    <w:p w14:paraId="151F5E10" w14:textId="77777777" w:rsidR="001757B7" w:rsidRPr="00AD6FB3" w:rsidRDefault="001757B7" w:rsidP="00AD6FB3">
      <w:pPr>
        <w:pStyle w:val="Default"/>
        <w:rPr>
          <w:sz w:val="22"/>
          <w:szCs w:val="22"/>
        </w:rPr>
      </w:pPr>
    </w:p>
    <w:sectPr w:rsidR="001757B7" w:rsidRPr="00AD6F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16D0A"/>
    <w:multiLevelType w:val="hybridMultilevel"/>
    <w:tmpl w:val="CF52F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B3625B5"/>
    <w:multiLevelType w:val="hybridMultilevel"/>
    <w:tmpl w:val="85B4BF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BDB4A04"/>
    <w:multiLevelType w:val="hybridMultilevel"/>
    <w:tmpl w:val="77B4B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4E9"/>
    <w:rsid w:val="00112E76"/>
    <w:rsid w:val="001757B7"/>
    <w:rsid w:val="001D240D"/>
    <w:rsid w:val="002753DA"/>
    <w:rsid w:val="002E49DB"/>
    <w:rsid w:val="003D2E98"/>
    <w:rsid w:val="005D04E9"/>
    <w:rsid w:val="007314ED"/>
    <w:rsid w:val="007D1748"/>
    <w:rsid w:val="00904907"/>
    <w:rsid w:val="009C2901"/>
    <w:rsid w:val="00AD6FB3"/>
    <w:rsid w:val="00B77942"/>
    <w:rsid w:val="00C45DD1"/>
    <w:rsid w:val="00C46347"/>
    <w:rsid w:val="00C66AA0"/>
    <w:rsid w:val="00C723FF"/>
    <w:rsid w:val="00C9102C"/>
    <w:rsid w:val="00E127D0"/>
    <w:rsid w:val="00F72C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A8091"/>
  <w15:chartTrackingRefBased/>
  <w15:docId w15:val="{C62936B9-B82C-4090-B3C2-F4FE40EF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04E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314ED"/>
    <w:rPr>
      <w:color w:val="0563C1" w:themeColor="hyperlink"/>
      <w:u w:val="single"/>
    </w:rPr>
  </w:style>
  <w:style w:type="character" w:styleId="CommentReference">
    <w:name w:val="annotation reference"/>
    <w:basedOn w:val="DefaultParagraphFont"/>
    <w:uiPriority w:val="99"/>
    <w:semiHidden/>
    <w:unhideWhenUsed/>
    <w:rsid w:val="007314ED"/>
    <w:rPr>
      <w:sz w:val="16"/>
      <w:szCs w:val="16"/>
    </w:rPr>
  </w:style>
  <w:style w:type="paragraph" w:styleId="CommentText">
    <w:name w:val="annotation text"/>
    <w:basedOn w:val="Normal"/>
    <w:link w:val="CommentTextChar"/>
    <w:uiPriority w:val="99"/>
    <w:semiHidden/>
    <w:unhideWhenUsed/>
    <w:rsid w:val="007314ED"/>
    <w:pPr>
      <w:spacing w:line="240" w:lineRule="auto"/>
    </w:pPr>
    <w:rPr>
      <w:sz w:val="20"/>
      <w:szCs w:val="20"/>
    </w:rPr>
  </w:style>
  <w:style w:type="character" w:customStyle="1" w:styleId="CommentTextChar">
    <w:name w:val="Comment Text Char"/>
    <w:basedOn w:val="DefaultParagraphFont"/>
    <w:link w:val="CommentText"/>
    <w:uiPriority w:val="99"/>
    <w:semiHidden/>
    <w:rsid w:val="007314ED"/>
    <w:rPr>
      <w:sz w:val="20"/>
      <w:szCs w:val="20"/>
    </w:rPr>
  </w:style>
  <w:style w:type="paragraph" w:styleId="CommentSubject">
    <w:name w:val="annotation subject"/>
    <w:basedOn w:val="CommentText"/>
    <w:next w:val="CommentText"/>
    <w:link w:val="CommentSubjectChar"/>
    <w:uiPriority w:val="99"/>
    <w:semiHidden/>
    <w:unhideWhenUsed/>
    <w:rsid w:val="007314ED"/>
    <w:rPr>
      <w:b/>
      <w:bCs/>
    </w:rPr>
  </w:style>
  <w:style w:type="character" w:customStyle="1" w:styleId="CommentSubjectChar">
    <w:name w:val="Comment Subject Char"/>
    <w:basedOn w:val="CommentTextChar"/>
    <w:link w:val="CommentSubject"/>
    <w:uiPriority w:val="99"/>
    <w:semiHidden/>
    <w:rsid w:val="007314ED"/>
    <w:rPr>
      <w:b/>
      <w:bCs/>
      <w:sz w:val="20"/>
      <w:szCs w:val="20"/>
    </w:rPr>
  </w:style>
  <w:style w:type="paragraph" w:styleId="BalloonText">
    <w:name w:val="Balloon Text"/>
    <w:basedOn w:val="Normal"/>
    <w:link w:val="BalloonTextChar"/>
    <w:uiPriority w:val="99"/>
    <w:semiHidden/>
    <w:unhideWhenUsed/>
    <w:rsid w:val="00731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4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65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EA">
  <a:themeElements>
    <a:clrScheme name="CEA">
      <a:dk1>
        <a:srgbClr val="000000"/>
      </a:dk1>
      <a:lt1>
        <a:sysClr val="window" lastClr="FFFFFF"/>
      </a:lt1>
      <a:dk2>
        <a:srgbClr val="005A40"/>
      </a:dk2>
      <a:lt2>
        <a:srgbClr val="E7E6E6"/>
      </a:lt2>
      <a:accent1>
        <a:srgbClr val="56A0D3"/>
      </a:accent1>
      <a:accent2>
        <a:srgbClr val="C1AC00"/>
      </a:accent2>
      <a:accent3>
        <a:srgbClr val="005A40"/>
      </a:accent3>
      <a:accent4>
        <a:srgbClr val="651E38"/>
      </a:accent4>
      <a:accent5>
        <a:srgbClr val="56A0D3"/>
      </a:accent5>
      <a:accent6>
        <a:srgbClr val="00CC00"/>
      </a:accent6>
      <a:hlink>
        <a:srgbClr val="0563C1"/>
      </a:hlink>
      <a:folHlink>
        <a:srgbClr val="666699"/>
      </a:folHlink>
    </a:clrScheme>
    <a:fontScheme name="CEA">
      <a:majorFont>
        <a:latin typeface="Arial Rounded MT Bold"/>
        <a:ea typeface=""/>
        <a:cs typeface=""/>
      </a:majorFont>
      <a:minorFont>
        <a:latin typeface="Calibri"/>
        <a:ea typeface=""/>
        <a:cs typeface=""/>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EAppt2" id="{110034CB-A27B-4F72-88C1-1BBF89F40E8C}" vid="{4CAC1929-78A3-4A12-A93B-758FF4691B39}"/>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CEA</dc:creator>
  <cp:keywords/>
  <dc:description/>
  <cp:lastModifiedBy>Jessie Grainger</cp:lastModifiedBy>
  <cp:revision>6</cp:revision>
  <dcterms:created xsi:type="dcterms:W3CDTF">2019-03-07T17:36:00Z</dcterms:created>
  <dcterms:modified xsi:type="dcterms:W3CDTF">2019-03-08T17:02:00Z</dcterms:modified>
</cp:coreProperties>
</file>